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224</w:t>
      </w:r>
    </w:p>
    <w:p>
      <w:r>
        <w:t>Bundesgericht (BGE), 1994-07-29, DE</w:t>
      </w:r>
    </w:p>
    <w:p>
      <w:r>
        <w:rPr>
          <w:b/>
        </w:rPr>
        <w:t xml:space="preserve">Quelle: </w:t>
      </w:r>
      <w:r>
        <w:t>https://mcp.opencaselaw.ch/entscheid/bge_120 V 224</w:t>
      </w:r>
    </w:p>
    <w:p>
      <w:r>
        <w:t>FR: ATF 120 V 224</w:t>
      </w:r>
    </w:p>
    <w:p>
      <w:r>
        <w:t>IT: DTF 120 V 224</w:t>
      </w:r>
    </w:p>
    <w:p>
      <w:pPr>
        <w:pStyle w:val="Heading2"/>
      </w:pPr>
      <w:r>
        <w:t>Regeste</w:t>
      </w:r>
    </w:p>
    <w:p>
      <w:r>
        <w:t>Regeste Art. 37 Abs. 2 und 3 UVG. - Zur Abgrenzung der Bestimmungen von Art. 37 Abs. 2 und 3 UVG (Erw. 2c). - Begriff des Vergehens gemäss Art. 37 Abs. 3 UVG (Erw. 2d). Art. 37 Abs. 3 UVG, Art. 91 Abs. 1 SVG, Art. 12 StGB, Art. 263 StGB. Kürzung oder Verweigerung von Geldleistungen nach Unfällen, die sich beim Führen eines Motorfahrzeuges in angetrunkenem Zustand ereignet haben (Erw. 3). Art. 37 Abs. 3 UVG. - Art. 37 Abs. 3 UVG räumt kein Entschliessungsermessen in dem Sinne ein, dass der UVG-Versicherer frei darüber entscheiden könnte, ob eine Sanktion zu verfügen ist oder nicht (Erw. 4b). - Bestätigung der SUVA-Praxis, wonach bei Unfällen unter Alkoholeinfluss der Kürzungssatz vom Ausmass der Trunkenheit abhängig ist (Erw. 4c).</w:t>
      </w:r>
    </w:p>
    <w:p>
      <w:pPr>
        <w:pStyle w:val="Heading2"/>
      </w:pPr>
      <w:r>
        <w:t>Erwägungen</w:t>
      </w:r>
    </w:p>
    <w:p>
      <w:r>
        <w:rPr>
          <w:b/>
        </w:rPr>
        <w:t>E. 1</w:t>
      </w:r>
    </w:p>
    <w:p>
      <w:r>
        <w:t>(Kognition)</w:t>
      </w:r>
    </w:p>
    <w:p>
      <w:r>
        <w:rPr>
          <w:b/>
        </w:rPr>
        <w:t>E. 2</w:t>
      </w:r>
    </w:p>
    <w:p>
      <w:r>
        <w:t>Streitig und im folgenden zu prüfen ist, ob die SUVA die den Beschwerdeführern zustehenden Hinterlassenenleistungen zu Recht wegen schuldhafter Herbeiführung des Unfalls um 50% gekürzt hat. a) Wie das Eidg. Versicherungsgericht in Änderung seiner früheren Praxis ( BGE 111 V 201 ) festgestellt hat, sind die Bestimmungen von Art. 32 Ziff. 1 lit. e des Übereinkommens Nr. 128 der Internationalen Arbeitsorganisation (IAO) und Art. 68 lit. f der Europäischen Ordnung der Sozialen Sicherheit (EOSS) direkt anwendbar ( BGE 119 V 171 ff.). Daraus folgt, dass auch im Rahmen der obligatorischen Unfallversicherung Leistungskürzungen wegen grobfahrlässiger Herbeiführung des Versicherungsfalls ( Art. 37 Abs. 2 UVG ) ausgeschlossen sind (RKUV 1994 Nr. U 193 S. 152 ff., BGE 120 V 128 ), wogegen die Kürzung oder Verweigerung von Leistungen infolge Herbeiführung eines Unfalles bei Ausübung eines Verbrechens oder Vergehens insoweit zulässig bleibt, als sie Leistungen an den anspruchsberechtigten Versicherten zum Gegenstand hat (vgl. Art. 68 lit. e in Verbindung mit Art. 33 EOSS sowie BGE 119 V 244 ff. Erw. 3). Der staatsvertragliche Ausschluss der Leistungskürzung oder -verweigerung beschränkt sich indessen auf die Berufsunfallversicherung und findet auf die Versicherung von Nichtberufsunfällen keine Anwendung ( BGE 118 V 309 Erw. 4b). Ob die im vorliegenden Fall angefochtene Kürzung der Hinterlassenenleistungen rechtmässig ist, beurteilt sich somit allein nach dem Landesrecht. b) Hat der Versicherte den Unfall grobfahrlässig herbeigeführt, so werden die Geldleistungen gekürzt. Die Kürzung beträgt jedoch höchstens die Hälfte der Leistungen, wenn der Versicherte im Zeitpunkt des Unfalles für Angehörige zu sorgen hat, denen bei seinem Tode Hinterlassenenrenten zustehen würden, oder wenn er an den Unfallfolgen stirbt ( Art. 37 Abs. 2 UVG ). Hat der Versicherte den Unfall bei Ausübung eines Verbrechens oder Vergehens herbeigeführt, so können die Geldleistungen gekürzt oder in besonders schweren Fällen verweigert werden. Hat der Versicherte im Zeitpunkt des Unfalles für Angehörige zu sorgen, denen bei seinem Tode Hinterlassenenrenten zustünden, oder stirbt er an den Unfallfolgen, so werden Geldleistungen höchstens um die Hälfte gekürzt ( Art. 37 Abs. 3 UVG ). BGE 120 V 224 S. 227 c) Die Bestimmung von Art. 37 Abs. 3 UVG unterscheidet sich von derjenigen gemäss Abs. 2 dieses Artikels zunächst dadurch, dass die Geldleistungen im Falle der Herbeiführung des Unfalles bei Ausübung eines Verbrechens oder Vergehens nicht nur gekürzt, sondern in besonders schweren Fällen auch verweigert werden können. Bezüglich ihrer Anwendbarkeit unterscheiden sich die Bestimmungen darin, dass Abs. 3 die Erfüllung eines objektiven Straftatbestandes und nicht notwendigerweise Absicht oder Grobfahrlässigkeit voraussetzt. Der Unfall muss nicht zwingend schuldhaft herbeigeführt worden sein; es genügt, wenn er bei (anlässlich) der Begehung eines Verbrechens oder Vergehens herbeigeführt wurde (vgl. MAURER, Schweizerisches Unfallversicherungsrecht, Bern 1985, S. 482). Wird der Unfall gleichzeitig grobfahrlässig und bei Ausübung eines Verbrechens oder Vergehens herbeigeführt, findet Art. 37 Abs. 3 UVG als lex specialis Anwendung. Ist eine strafbare Handlung lediglich als Übertretung zu qualifizieren und wurde der Unfall grobfahrlässig herbeigeführt, gelangt Art. 37 Abs. 2 UVG zur Anwendung (RUMO-JUNGO, Die Leistungskürzung oder -verweigerung gemäss Art. 37-39 UVG , Diss. Freiburg 1993, S. 170). d) Der Begriff des Vergehens gemäss Art. 37 Abs. 3 UVG bestimmt sich nach Art. 9 Abs. 2 StGB ( BGE 119 V 245 Erw. 3a mit Hinweisen). Danach gelten als Vergehen die mit Gefängnis als Höchststrafe bedrohten Handlungen. Soweit es das Gesetz vorsieht, gehören dazu auch fahrlässig begangene Handlungen ( Art. 18 StGB ). Kein Vergehen im Sinne von Art. 37 Abs. 3 UVG liegt vor, wenn der Versicherte die strafbare Handlung im Zustand der Unzurechnungsfähigkeit begangen hat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BGE 117 IV 294 Erw. 2 mit Hinweisen). Die Leistungen sind alsdann trotz Unzurechnungsfähigkeit im Zeitpunkt der Tat gemäss Art. 37 Abs. 3 UVG zu kürzen oder zu verweigern (RUMO-JUNGO, a.a.O., S. 171).</w:t>
      </w:r>
    </w:p>
    <w:p>
      <w:r>
        <w:rPr>
          <w:b/>
        </w:rPr>
        <w:t>E. 3</w:t>
      </w:r>
    </w:p>
    <w:p>
      <w:r>
        <w:t>Zu prüfen ist zunächst, ob der Unfall vom 2. Februar 1991 im Sinne von Art. 37 Abs. 3 UVG bei Ausübung eines Verbrechens oder Vergehens herbeigeführt wurde. a) Gemäss Art. 91 Abs. 1 SVG wird mit Gefängnis oder mit Busse bestraft, wer ein Motorfahrzeug in angetrunkenem Zustand führt. Nach der BGE 120 V 224 S. 228 Legaldefinition des Art. 9 Abs. 2 StGB handelt es sich um ein Vergehen im strafrechtlichen Sinn, welches nicht nur strafbar ist, wenn es vorsätzlich, sondern auch wenn es fahrlässig begangen wird ( Art. 100 Ziff. 1 SVG ). War der Täter zum Zeitpunkt der Tatbegehung nicht zurechnungsfähig, kann er nur unter den Voraussetzungen von Art. 12 StGB betreffend die sog. actio libera in causa oder von Art. 263 StGB betreffend die Verübung einer Tat in selbstverschuldeter Unzurechnungsfähigkeit bestraft werden. Für das Fahren in angetrunkenem Zustand bedeutet dies, dass eine allfällige Unzurechnungsfähigkeit des Fahrzeuglenkers unbeachtlich ist, wenn er zur Zeit, als er noch nicht unzurechnungsfähig war, zumindest in Kauf nahm, dass er in angetrunkenem Zustand noch ein Fahrzeug lenken würde ([eventual]-vorsätzliche actio libera in causa). Hätte der Fahrzeuglenker zur Zeit, als er noch nicht unzurechnungsfähig war, bei pflichtgemässer Aufmerksamkeit voraussehen können, dass er in angetrunkenem Zustand noch fahren würde (fahrlässige actio libera in causa), ist er wegen fahrlässigen Fahrens in angetrunkenem Zustand zu verurteilen ( BGE 117 IV 295 Erw. 2). Ist weder der Tatbestand der vorsätzlichen noch der fahrlässigen actio libera in causa gegeben, kommt Art. 263 StGB zur Anwendung, wonach mit Gefängnis bis zu sechs Monaten oder mit Busse bestraft wird, wer infolge selbstverschuldeter Trunkenheit oder Betäubung unzurechnungsfähig ist und in diesem Zustand eine als Verbrechen oder Vergehen bedrohte Tat verübt ( BGE 104 IV 249 , BGE 93 IV 41 Erw. 2; SUVA-Rechtsprechungsbericht 1987 Nr. 7 S. 13). b) Im vorliegenden Fall steht aufgrund der polizeilichen Ermittlungen fest, dass R. G. am Freitag, dem 1. Februar 1991, um ca. 20.00 Uhr die eheliche Wohnung verliess und die Nacht auswärts verbrachte. Am darauffolgenden Samstag besuchte er einen Kollegen in M., mit welchem er das Mittagessen einnahm. Um ca. 16.00 Uhr verabschiedete er sich, wobei er erwähnte, er werde sich nach Hause begeben. Vor dem Unfall hielt er sich indessen noch im Restaurant K. in N. auf. In der Folge ereignete sich der tödliche Unfall, bei welchem R. G. eine Blutalkoholkonzentration von 2,85 bis 3,15%o aufwies. In welchem Zeitpunkt R. G. mit dem Trinken begonnen hatte, lässt sich den Akten nicht entnehmen und heute nicht mehr abklären. Fest steht indessen, dass R. G. seinen Wohnort mit dem eigenen Personenwagen verlassen und bei Trinkbeginn vorausgesehen hat bzw. bei pflichtgemässer Aufmerksamkeit voraussehen musste, dass er noch ein Motorfahrzeug steuern werde. Ob er bei Antritt der Unfallfahrt im Sinne von Art. 10 StGB unzurechnungsfähig war, BGE 120 V 224 S. 229 ist nicht entscheidend. Denn wer die Weichen für den ins Delikt führenden Geschehensablauf schon in einem Zeitpunkt gestellt hat, in dem er noch uneingeschränkt verantwortlich war, hat die strafrechtlich bedeutsame Handlung bereits und noch im Zustand der vollen Zurechnungsfähigkeit begangen. Hat er im Zustand der vollen Zurechnungsfähigkeit fahrlässig die spätere Deliktsbegehung nicht bedacht, so ist er in Anwendung der allgemeinen Zurechnungsregeln, d.h. insbesondere von Art. 18 StGB , wegen fahrlässiger Tatbegehung (fahrlässige actio libera in causa) strafbar ( BGE 117 IV 295 Erw. 2; nicht veröff. Urteil des Bundesgerichts i.S. W. vom 1.3.93; STRATENWERTH, Schweizerisches Strafrecht, Allgemeiner Teil I, Bern 1982, S. 251; SCHULTZ, Einführung in den allgemeinen Teil des Strafrechts, Bd. I, 4. Aufl., Bern 1982, S. 185; NOLL/TRECHSEL, Schweizerisches Strafrecht, Allgemeiner Teil I, 3. Aufl., Zürich 1990, S. 133). Wenn SUVA und Vorinstanz zum Schluss gelangt sind, dass der Verstorbene den Unfall im Sinne von Art. 37 Abs. 3 UVG bei Ausübung eines Verbrechens oder Vergehens herbeigeführt hat, verstösst dies in beweisrechtlicher Hinsicht weder gegen Art. 4 BV noch gegen Art. 6 Ziff. 2 EMRK . Entgegen der Auffassung der Beschwerdeführer bedurfte es keines Beweises hinsichtlich der Zurechnungsfähigkeit des Versicherten vor dem Unfallereignis. Denn selbst wenn der Verstorbene unmittelbar vor Antritt der Unfallfahrt unzurechnungsfähig gewesen wäre, hat er den Unfall im Sinne einer fahrlässigen actio libera in causa schuldhaft herbeigeführt. Würde anders entschieden, wäre jedenfalls der Tatbestand von Art. 263 StGB gegeben, weil sich der Verstorbene schuldhaft in den Zustand der Unzurechnungsfähigkeit versetzt und in diesem Zustand ein Vergehen (Fahren in angetrunkenem Zustand) verübt hat ( BGE 93 IV 41 Erw. 2). SUVA und Vorinstanz haben die Voraussetzungen für eine Kürzung bzw. Verweigerung der Versicherungsleistungen gemäss Art. 37 Abs. 3 UVG somit zu Recht bejaht.</w:t>
      </w:r>
    </w:p>
    <w:p>
      <w:r>
        <w:rPr>
          <w:b/>
        </w:rPr>
        <w:t>E. 4</w:t>
      </w:r>
    </w:p>
    <w:p>
      <w:r>
        <w:t>Zu prüfen bleibt das Massliche der verfügten Leistungskürzung. a) Die Beschwerdeführer berufen sich darauf, dass der SUVA bei der Kürzung oder Verweigerung von Leistungen gemäss Art. 37 Abs. 3 UVG ein Entschliessungsermessen zustehe und nach dem Wortlaut der Bestimmung von einer Sanktion abgesehen werden könne. Im Rahmen des Entschliessungsermessens sei zu berücksichtigen, dass in der Nichtbetriebsunfallversicherung die Prämien nur in geringem Masse vom Risiko abhängig seien und die Leistungen eher einen sozialen Ausgleich denn BGE 120 V 224 S. 230 eine Versicherungsleistung entsprechend dem Äquivalenzprinzip darstellten. Der Zweck von Art. 37 Abs. 3 UVG liege in der Prävention; die Bestimmung richte sich gegen denjenigen, welcher ein Verbrechen oder Vergehen begangen habe, und nicht gegen die Hinterlassenen. Von der Lehre werde in solchen Fällen daher der Verzicht auf die Verweigerung von Leistungen postuliert (SCHAER/DUC/KELLER, Das Verschulden im Wandel des Privatversicherungs-, Sozialversicherungs- und Haftpflichtrechts, Basel 1992, S. 144 f.). Hiefür spreche auch die systematische Auslegung des Gesetzes, werde doch in Art. 37 Abs. 2 UVG für den Fall der grobfahrlässigen Verursachung des Unfalls eine Kürzung verlangt, wogegen Art. 37 Abs. 3 UVG als "Kann-Vorschrift" formuliert sei. Für die von der SUVA nach dem Grad der Alkoholkonzentration abgestufte Leistungskürzung fehle es bezüglich der Hinterlassenenleistungen an einem vernünftigen Grund. b) Wie bereits die Vorinstanz festgestellt hat, räumt Art. 37 Abs. 3 UVG kein Entschliessungsermessen in dem Sinne ein, dass der UVG-Versicherer frei darüber entscheiden könnte, ob eine Sanktion zu verfügen ist oder nicht. Richtig ist, dass nach dem Wortlaut von Art. 37 Abs. 3 UVG die Geldleistungen gekürzt oder in besonders schweren Fällen verweigert werden können, wenn der Versicherte den Unfall bei Ausübung eines Verbrechens oder Vergehens herbeigeführt hat, wogegen die Geldleistungen nach Art. 37 Abs. 2 UVG gekürzt werden, wenn der Versicherte den Unfall grobfahrlässig herbeigeführt hat. Der SUVA ist indessen darin beizupflichten, dass aus der unterschiedlichen Formulierung nicht auf eine grundlegend andere Regelung der Rechtsfolgen geschlossen werden kann. Vielmehr ergibt sich aus Sinn und Zweck der Bestimmungen, dass die Pflicht zur Kürzung der Leistungen gemäss Art. 37 Abs. 2 UVG grundsätzlich auch im Rahmen von Art. 37 Abs. 3 UVG Geltung hat. Denn es liesse sich nicht rechtfertigen, die Sanktion beim qualifizierten Tatbestand des bei Ausübung eines Verbrechens oder Vergehens herbeigeführten Unfalls milder ausfallen zu lassen als beim verschuldensmässig in der Regel weniger ins Gewicht fallenden Tatbestand der grobfahrlässigen Herbeiführung des Unfalls. Die "Kann"-Formulierung von Art. 37 Abs. 3 erlaubt es indessen, Ausnahmefällen Rechnung zu tragen, so beispielsweise, wenn der bei Ausübung eines Verbrechens oder Vergehens herbeigeführte Unfall nur mit einem geringen oder überhaupt mit keinem Verschulden des Versicherten in Zusammenhang steht (vgl. RUMO-JUNGO, a.a.O., S. 219). Ferner kann berücksichtigt werden, dass Verbrechen und Vergehen in Notwehr oder BGE 120 V 224 S. 231 Notstand ( Art. 33 und 34 StGB ) nicht strafbar sind und daher auch zu keiner Sanktion gemäss Art. 37 Abs. 3 UVG Anlass geben (MAURER, a.a.O., S. 512; RUMO-JUNGO, a.a.O., S. 169). Dem Umstand, dass bei den Hinterlassenenleistungen die Sanktion nicht den Unfallverursacher trifft, hat der Gesetzgeber mit Art. 37 Abs. 3 UVG in der Weise Rechnung getragen, dass die Leistungen nicht gänzlich verweigert und höchstens im Umfang von 50% gekürzt werden dürfen. Soweit in der Lehre die Auffassung vertreten wird, gegenüber den Hinterlassenen des bei Ausübung eines Verbrechens oder Vergehens Getöteten sei auf jede Leistungskürzung zu verzichten, handelt es sich um Erwägungen de lege ferenda, die gegebenenfalls vom Gesetzgeber zu berücksichtigen sind. Sie vermögen den Richter, welcher an das Gesetz gebunden ist ( Art. 113 Abs. 3 und Art. 114bis Abs. 3 BV ), zu keinem andern Schluss zu führen. c) Die SUVA ist bei der Festsetzung der Leistungskürzung von den Empfehlungen der inoffiziellen Ad-hoc-Kommission der Schadenleiter der UVG-Versicherer ausgegangen. Diese stellen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114 V 318 Erw. 5c). Die Praxis der SUVA hält sich auch insofern im Rahmen der gesetzlichen Ordnung, als sie bei Unfällen unter Alkoholeinfluss den Kürzungssatz vom Ausmass der Trunkenheit abhängig macht. Denn es ist offensichtlich, dass mit zunehmendem Alkoholisierungsgrad die Fahrtüchtigkeit abnimmt und gleichzeitig die Unfallgefahr zunimmt. Es ist dem Grundsatze nach daher nicht zu beanstanden, wenn die SUVA bei Unfällen unter Alkoholeinfluss bei einer Alkoholkonzentration von 0,8 bis 1,2%o in der Regel eine Kürzung von 20% vornimmt und den Kürzungssatz für je 0,4 zusätzliche Promille um jeweils 10% erhöht (vgl. auch RUMO-JUNGO, a.a.O., S. 222). Der im vorliegenden Fall festgestellten Blutalkoholkonzentration von 2,85 bis 3,15%o entspricht praxisgemäss ein Kürzungssatz in Höhe von 70%. Besondere Umstände, welche das Verschulden des Verstorbenen in einem milderen Licht erscheinen liessen oder sonstwie zu berücksichtigen wären, ergeben sich aus den Akten nicht und werden auch von den Beschwerdeführern nicht geltend gemacht. Indem die SUVA die Leistungskürzung auf den gesetzlich zulässigen Höchstsatz von 50% festgesetzt hat, hat sie weder ihr Ermessen missbraucht, noch ist der Entscheid unter dem Gesichtspunkt der BGE 120 V 224 S. 232 Angemessenheit rechtsfehlerhaft. Hieran ändert entgegen den Ausführungen in der Verwaltungsgerichtsbeschwerde nichts, dass die Beschwerdeführer am Unfall völlig unbeteiligt waren. Diesem Umstand wird vom Gesetz insoweit Rechnung getragen, als die Leistungskürzung gemäss Art. 37 Abs. 3 UVG auf höchstens 50% begrenzt ist. Im übrigen bestimmt sich der Umfang der Leistungskürzung allein nach dem Verschulden des Versicherten.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